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6AB3" w14:textId="77777777" w:rsidR="0025507E" w:rsidRPr="00353963" w:rsidRDefault="0022698A">
      <w:pPr>
        <w:rPr>
          <w:b/>
          <w:color w:val="000000" w:themeColor="text1"/>
        </w:rPr>
      </w:pPr>
      <w:r w:rsidRPr="00353963">
        <w:rPr>
          <w:b/>
          <w:color w:val="000000" w:themeColor="text1"/>
        </w:rPr>
        <w:t>ASCC PROPOSAL FOR A REVISED GENERAL EDUCATION PROGRAM</w:t>
      </w:r>
    </w:p>
    <w:p w14:paraId="3658B58F" w14:textId="063FAE30" w:rsidR="00DE4564" w:rsidRPr="00353963" w:rsidRDefault="0022698A" w:rsidP="006D1EF7">
      <w:pPr>
        <w:spacing w:after="0"/>
        <w:rPr>
          <w:rStyle w:val="Hyperlink"/>
          <w:color w:val="000000" w:themeColor="text1"/>
        </w:rPr>
      </w:pPr>
      <w:r w:rsidRPr="00353963">
        <w:rPr>
          <w:color w:val="000000" w:themeColor="text1"/>
        </w:rPr>
        <w:t xml:space="preserve">In Spring 2018, OAA released a proposal </w:t>
      </w:r>
      <w:r w:rsidR="007628B4">
        <w:rPr>
          <w:color w:val="000000" w:themeColor="text1"/>
        </w:rPr>
        <w:t xml:space="preserve">developed </w:t>
      </w:r>
      <w:r w:rsidR="000A0B21">
        <w:rPr>
          <w:color w:val="000000" w:themeColor="text1"/>
        </w:rPr>
        <w:t xml:space="preserve">by a faculty-led review committee </w:t>
      </w:r>
      <w:r w:rsidR="00300BFF">
        <w:rPr>
          <w:color w:val="000000" w:themeColor="text1"/>
        </w:rPr>
        <w:t>for a new,</w:t>
      </w:r>
      <w:r w:rsidRPr="00353963">
        <w:rPr>
          <w:color w:val="000000" w:themeColor="text1"/>
        </w:rPr>
        <w:t xml:space="preserve"> University-wide General Education Curriculum.  The proposal </w:t>
      </w:r>
      <w:r w:rsidR="007E4714" w:rsidRPr="00353963">
        <w:rPr>
          <w:color w:val="000000" w:themeColor="text1"/>
        </w:rPr>
        <w:t xml:space="preserve">responded to the </w:t>
      </w:r>
      <w:r w:rsidRPr="00353963">
        <w:rPr>
          <w:color w:val="000000" w:themeColor="text1"/>
        </w:rPr>
        <w:t>charge from the University Level Advisory Committee on the General Education (ULAC) through a multi-semester process of discussion, study, and development involving facu</w:t>
      </w:r>
      <w:r w:rsidR="004B16E9">
        <w:rPr>
          <w:color w:val="000000" w:themeColor="text1"/>
        </w:rPr>
        <w:t xml:space="preserve">lty, students, and staff.  The Review Committee </w:t>
      </w:r>
      <w:r w:rsidRPr="00353963">
        <w:rPr>
          <w:color w:val="000000" w:themeColor="text1"/>
        </w:rPr>
        <w:t>proposal and a discussion of the process that led to its development</w:t>
      </w:r>
      <w:r w:rsidR="00FA431D" w:rsidRPr="00353963">
        <w:rPr>
          <w:color w:val="000000" w:themeColor="text1"/>
        </w:rPr>
        <w:t xml:space="preserve"> </w:t>
      </w:r>
      <w:r w:rsidRPr="00353963">
        <w:rPr>
          <w:color w:val="000000" w:themeColor="text1"/>
        </w:rPr>
        <w:t xml:space="preserve">is available here </w:t>
      </w:r>
      <w:hyperlink r:id="rId8" w:history="1">
        <w:r w:rsidRPr="00353963">
          <w:rPr>
            <w:rStyle w:val="Hyperlink"/>
            <w:color w:val="000000" w:themeColor="text1"/>
          </w:rPr>
          <w:t>https://oaa.osu.edu/general-education-review</w:t>
        </w:r>
      </w:hyperlink>
      <w:r w:rsidR="00AC0BED" w:rsidRPr="00353963">
        <w:rPr>
          <w:rStyle w:val="Hyperlink"/>
          <w:color w:val="000000" w:themeColor="text1"/>
        </w:rPr>
        <w:t xml:space="preserve">. </w:t>
      </w:r>
    </w:p>
    <w:p w14:paraId="57E7A76A" w14:textId="77777777" w:rsidR="006D1EF7" w:rsidRPr="00353963" w:rsidRDefault="006D1EF7" w:rsidP="006D1EF7">
      <w:pPr>
        <w:spacing w:after="0"/>
        <w:rPr>
          <w:color w:val="000000" w:themeColor="text1"/>
        </w:rPr>
      </w:pPr>
    </w:p>
    <w:p w14:paraId="4597284F" w14:textId="27BFADC5" w:rsidR="007628B4" w:rsidRPr="00650EC7" w:rsidRDefault="007628B4" w:rsidP="004B16E9">
      <w:pPr>
        <w:spacing w:after="0"/>
      </w:pPr>
      <w:r>
        <w:rPr>
          <w:color w:val="000000" w:themeColor="text1"/>
        </w:rPr>
        <w:t>T</w:t>
      </w:r>
      <w:r w:rsidR="00732161" w:rsidRPr="00353963">
        <w:rPr>
          <w:color w:val="000000" w:themeColor="text1"/>
        </w:rPr>
        <w:t xml:space="preserve">he Arts and Sciences Curriculum Committee </w:t>
      </w:r>
      <w:r w:rsidR="00317C42" w:rsidRPr="00353963">
        <w:rPr>
          <w:color w:val="000000" w:themeColor="text1"/>
        </w:rPr>
        <w:t>(ASCC</w:t>
      </w:r>
      <w:r>
        <w:rPr>
          <w:color w:val="000000" w:themeColor="text1"/>
        </w:rPr>
        <w:t xml:space="preserve">) has revised the initial proposal following extensive </w:t>
      </w:r>
      <w:r w:rsidR="008439AE">
        <w:rPr>
          <w:color w:val="000000" w:themeColor="text1"/>
        </w:rPr>
        <w:t xml:space="preserve">discussion </w:t>
      </w:r>
      <w:r>
        <w:rPr>
          <w:color w:val="000000" w:themeColor="text1"/>
        </w:rPr>
        <w:t>with</w:t>
      </w:r>
      <w:r w:rsidR="008439AE">
        <w:rPr>
          <w:color w:val="000000" w:themeColor="text1"/>
        </w:rPr>
        <w:t xml:space="preserve"> the Arts and Sciences Senate</w:t>
      </w:r>
      <w:r>
        <w:rPr>
          <w:color w:val="000000" w:themeColor="text1"/>
        </w:rPr>
        <w:t xml:space="preserve"> and</w:t>
      </w:r>
      <w:r w:rsidR="008439AE">
        <w:rPr>
          <w:color w:val="000000" w:themeColor="text1"/>
        </w:rPr>
        <w:t xml:space="preserve"> with important feedback from units and from the regional </w:t>
      </w:r>
      <w:r w:rsidR="008439AE" w:rsidRPr="00650EC7">
        <w:t xml:space="preserve">campuses.  </w:t>
      </w:r>
      <w:r w:rsidRPr="00650EC7">
        <w:t xml:space="preserve">Our proposal </w:t>
      </w:r>
      <w:r w:rsidR="000236C9" w:rsidRPr="00650EC7">
        <w:t>aims</w:t>
      </w:r>
      <w:r w:rsidR="00384458" w:rsidRPr="00650EC7">
        <w:t xml:space="preserve"> to creat</w:t>
      </w:r>
      <w:r w:rsidR="00BC562B" w:rsidRPr="00650EC7">
        <w:t>e</w:t>
      </w:r>
      <w:r w:rsidR="00384458" w:rsidRPr="00650EC7">
        <w:t xml:space="preserve"> a bolder, more distinctive identity for General Education at OSU</w:t>
      </w:r>
      <w:r w:rsidR="00BC562B" w:rsidRPr="00650EC7">
        <w:t xml:space="preserve"> </w:t>
      </w:r>
      <w:r w:rsidRPr="00650EC7">
        <w:t xml:space="preserve">and to accomplish this </w:t>
      </w:r>
      <w:r w:rsidR="00BC562B" w:rsidRPr="00650EC7">
        <w:t>within a smaller credit footprint</w:t>
      </w:r>
      <w:r w:rsidR="00384458" w:rsidRPr="00650EC7">
        <w:t>.</w:t>
      </w:r>
      <w:r w:rsidR="004B16E9" w:rsidRPr="00650EC7">
        <w:t xml:space="preserve"> The General Education Curriculum proposed here meets Ohio State’s goal of building distinguished academic programs and embraces the Land Grant mission and emphasis on service </w:t>
      </w:r>
      <w:r w:rsidR="004B16E9" w:rsidRPr="00650EC7">
        <w:rPr>
          <w:rFonts w:ascii="Calibri" w:hAnsi="Calibri" w:cs="Calibri"/>
        </w:rPr>
        <w:t xml:space="preserve">embodied in the motto  </w:t>
      </w:r>
      <w:r w:rsidR="00650EC7" w:rsidRPr="00650EC7">
        <w:rPr>
          <w:rFonts w:ascii="Calibri" w:hAnsi="Calibri" w:cs="Calibri"/>
        </w:rPr>
        <w:t>“</w:t>
      </w:r>
      <w:r w:rsidR="00650EC7" w:rsidRPr="00650EC7">
        <w:rPr>
          <w:rFonts w:ascii="Calibri" w:hAnsi="Calibri" w:cs="Calibri"/>
          <w:shd w:val="clear" w:color="auto" w:fill="FFFFFF"/>
        </w:rPr>
        <w:t>Disciplina in civitatem.”</w:t>
      </w:r>
    </w:p>
    <w:p w14:paraId="309277E1" w14:textId="7E0DCC20" w:rsidR="008F68F0" w:rsidRPr="00650EC7" w:rsidRDefault="008F68F0" w:rsidP="007628B4">
      <w:pPr>
        <w:spacing w:after="0"/>
      </w:pPr>
    </w:p>
    <w:p w14:paraId="725CDC36" w14:textId="5AA73638" w:rsidR="008F68F0" w:rsidRPr="00650EC7" w:rsidRDefault="00650EC7" w:rsidP="00650EC7">
      <w:pPr>
        <w:spacing w:after="0"/>
        <w:rPr>
          <w:rFonts w:ascii="Calibri" w:hAnsi="Calibri" w:cs="Calibri"/>
        </w:rPr>
      </w:pPr>
      <w:r w:rsidRPr="00650EC7">
        <w:rPr>
          <w:rFonts w:ascii="Calibri" w:hAnsi="Calibri" w:cs="Calibri"/>
        </w:rPr>
        <w:t xml:space="preserve">We propose a General Education </w:t>
      </w:r>
      <w:r w:rsidR="00073DC3">
        <w:rPr>
          <w:rFonts w:ascii="Calibri" w:hAnsi="Calibri" w:cs="Calibri"/>
        </w:rPr>
        <w:t>Program</w:t>
      </w:r>
      <w:r w:rsidRPr="00650EC7">
        <w:rPr>
          <w:rFonts w:ascii="Calibri" w:hAnsi="Calibri" w:cs="Calibri"/>
        </w:rPr>
        <w:t xml:space="preserve"> </w:t>
      </w:r>
      <w:r w:rsidR="000A0B21">
        <w:rPr>
          <w:rFonts w:ascii="Calibri" w:hAnsi="Calibri" w:cs="Calibri"/>
        </w:rPr>
        <w:t>with</w:t>
      </w:r>
      <w:r w:rsidRPr="00650EC7">
        <w:rPr>
          <w:rFonts w:ascii="Calibri" w:hAnsi="Calibri" w:cs="Calibri"/>
        </w:rPr>
        <w:t xml:space="preserve"> three parts (see Diagram). Courses in the Foundation address the breadth of modes of inquiry and fundamental skills. The Foundation courses prepare students </w:t>
      </w:r>
      <w:r w:rsidR="00300BFF">
        <w:rPr>
          <w:rFonts w:ascii="Calibri" w:hAnsi="Calibri" w:cs="Calibri"/>
        </w:rPr>
        <w:t>for their subsequent engagement i</w:t>
      </w:r>
      <w:r w:rsidRPr="00650EC7">
        <w:rPr>
          <w:rFonts w:ascii="Calibri" w:hAnsi="Calibri" w:cs="Calibri"/>
        </w:rPr>
        <w:t xml:space="preserve">n focused coursework in specific Themes. A pair of </w:t>
      </w:r>
      <w:r w:rsidR="00606448">
        <w:rPr>
          <w:rFonts w:ascii="Calibri" w:hAnsi="Calibri" w:cs="Calibri"/>
        </w:rPr>
        <w:t>1-credit courses</w:t>
      </w:r>
      <w:r w:rsidRPr="00650EC7">
        <w:rPr>
          <w:rFonts w:ascii="Calibri" w:hAnsi="Calibri" w:cs="Calibri"/>
        </w:rPr>
        <w:t xml:space="preserve"> bookend the Foundations and Themes, introducing the goals of the curriculum and providing opportunities for reflection and synthesis. Through this </w:t>
      </w:r>
      <w:r w:rsidRPr="00650EC7">
        <w:t xml:space="preserve">General Education </w:t>
      </w:r>
      <w:r w:rsidR="00073DC3">
        <w:t>P</w:t>
      </w:r>
      <w:r w:rsidRPr="00650EC7">
        <w:t>rogram, students will cultivate knowledge, skills, and attitudes that cross disciplinary boundaries and extend to areas outside specialized study programs.</w:t>
      </w:r>
    </w:p>
    <w:p w14:paraId="63CD4852" w14:textId="77777777" w:rsidR="007628B4" w:rsidRPr="00650EC7" w:rsidRDefault="007628B4" w:rsidP="007628B4">
      <w:pPr>
        <w:spacing w:after="0"/>
        <w:rPr>
          <w:rFonts w:ascii="Calibri" w:hAnsi="Calibri" w:cs="Calibri"/>
        </w:rPr>
      </w:pPr>
    </w:p>
    <w:p w14:paraId="43BDD4EF" w14:textId="1A97FFC4" w:rsidR="008F68F0" w:rsidRPr="00650EC7" w:rsidRDefault="008F68F0" w:rsidP="008F68F0">
      <w:pPr>
        <w:spacing w:after="0"/>
        <w:rPr>
          <w:rFonts w:ascii="Calibri" w:hAnsi="Calibri" w:cs="Calibri"/>
        </w:rPr>
      </w:pPr>
      <w:r w:rsidRPr="00650EC7">
        <w:rPr>
          <w:rFonts w:ascii="Calibri" w:hAnsi="Calibri" w:cs="Calibri"/>
        </w:rPr>
        <w:t xml:space="preserve">We propose to pair this GE with a </w:t>
      </w:r>
      <w:r w:rsidR="00300BFF">
        <w:rPr>
          <w:rFonts w:ascii="Calibri" w:hAnsi="Calibri" w:cs="Calibri"/>
        </w:rPr>
        <w:t>C</w:t>
      </w:r>
      <w:r w:rsidRPr="00650EC7">
        <w:rPr>
          <w:rFonts w:ascii="Calibri" w:hAnsi="Calibri" w:cs="Calibri"/>
        </w:rPr>
        <w:t>ollege</w:t>
      </w:r>
      <w:r w:rsidR="00300BFF">
        <w:rPr>
          <w:rFonts w:ascii="Calibri" w:hAnsi="Calibri" w:cs="Calibri"/>
        </w:rPr>
        <w:t xml:space="preserve"> of Arts and Sciences</w:t>
      </w:r>
      <w:r w:rsidRPr="00650EC7">
        <w:rPr>
          <w:rFonts w:ascii="Calibri" w:hAnsi="Calibri" w:cs="Calibri"/>
        </w:rPr>
        <w:t xml:space="preserve"> requirement for World Languages (see diagram and letter from World Languages faculty). The World Languages requirement expands on Arts and Sciences’ commitment to developing global competence in its students and to educating students for global citizenship. We urge other Colleges and programs within Colleges to adopt a similar requirement. </w:t>
      </w:r>
    </w:p>
    <w:p w14:paraId="36DEBE96" w14:textId="77777777" w:rsidR="008F68F0" w:rsidRPr="00650EC7" w:rsidRDefault="008F68F0" w:rsidP="008F68F0">
      <w:pPr>
        <w:spacing w:after="0"/>
        <w:rPr>
          <w:rFonts w:ascii="Calibri" w:hAnsi="Calibri" w:cs="Calibri"/>
        </w:rPr>
      </w:pPr>
    </w:p>
    <w:p w14:paraId="09434EA9" w14:textId="5BD7FA61" w:rsidR="008F68F0" w:rsidRPr="00650EC7" w:rsidRDefault="00317C42" w:rsidP="006D1EF7">
      <w:pPr>
        <w:spacing w:after="0"/>
        <w:rPr>
          <w:rFonts w:ascii="Calibri" w:hAnsi="Calibri" w:cs="Calibri"/>
        </w:rPr>
      </w:pPr>
      <w:r w:rsidRPr="00650EC7">
        <w:rPr>
          <w:rFonts w:ascii="Calibri" w:hAnsi="Calibri" w:cs="Calibri"/>
        </w:rPr>
        <w:t xml:space="preserve">Details of implementation remain to be discussed for many aspects of this proposal. These include, but are not limited to, </w:t>
      </w:r>
      <w:r w:rsidR="00E06F2C" w:rsidRPr="00650EC7">
        <w:rPr>
          <w:rFonts w:ascii="Calibri" w:hAnsi="Calibri" w:cs="Calibri"/>
        </w:rPr>
        <w:t>program-level learning outcomes, s</w:t>
      </w:r>
      <w:r w:rsidR="00527E14" w:rsidRPr="00650EC7">
        <w:rPr>
          <w:rFonts w:ascii="Calibri" w:hAnsi="Calibri" w:cs="Calibri"/>
        </w:rPr>
        <w:t xml:space="preserve">pecific learning outcomes for each category </w:t>
      </w:r>
      <w:r w:rsidR="0052572E" w:rsidRPr="00650EC7">
        <w:rPr>
          <w:rFonts w:ascii="Calibri" w:hAnsi="Calibri" w:cs="Calibri"/>
        </w:rPr>
        <w:t xml:space="preserve">(Bookends, Foundations, Themes) </w:t>
      </w:r>
      <w:r w:rsidR="00527E14" w:rsidRPr="00650EC7">
        <w:rPr>
          <w:rFonts w:ascii="Calibri" w:hAnsi="Calibri" w:cs="Calibri"/>
        </w:rPr>
        <w:t xml:space="preserve">and </w:t>
      </w:r>
      <w:r w:rsidR="0052572E" w:rsidRPr="00650EC7">
        <w:rPr>
          <w:rFonts w:ascii="Calibri" w:hAnsi="Calibri" w:cs="Calibri"/>
        </w:rPr>
        <w:t>the subcategories within them</w:t>
      </w:r>
      <w:r w:rsidRPr="00650EC7">
        <w:rPr>
          <w:rFonts w:ascii="Calibri" w:hAnsi="Calibri" w:cs="Calibri"/>
        </w:rPr>
        <w:t xml:space="preserve">, the </w:t>
      </w:r>
      <w:r w:rsidR="007628B4" w:rsidRPr="00650EC7">
        <w:rPr>
          <w:rFonts w:ascii="Calibri" w:hAnsi="Calibri" w:cs="Calibri"/>
        </w:rPr>
        <w:t>process for selecting and evaluating the choice</w:t>
      </w:r>
      <w:r w:rsidRPr="00650EC7">
        <w:rPr>
          <w:rFonts w:ascii="Calibri" w:hAnsi="Calibri" w:cs="Calibri"/>
        </w:rPr>
        <w:t xml:space="preserve"> Themes, </w:t>
      </w:r>
      <w:r w:rsidR="00527E14" w:rsidRPr="00650EC7">
        <w:rPr>
          <w:rFonts w:ascii="Calibri" w:hAnsi="Calibri" w:cs="Calibri"/>
        </w:rPr>
        <w:t xml:space="preserve">and credit-sharing for team-taught courses.  </w:t>
      </w:r>
      <w:r w:rsidR="008F68F0" w:rsidRPr="00650EC7">
        <w:rPr>
          <w:rFonts w:ascii="Calibri" w:hAnsi="Calibri" w:cs="Calibri"/>
        </w:rPr>
        <w:t xml:space="preserve">An appended document entitled “Implementation Recommendations” outlines issues identified through our deliberations and provides recommendations on possible solutions to these issues. </w:t>
      </w:r>
    </w:p>
    <w:p w14:paraId="475EB104" w14:textId="7A5B382C" w:rsidR="008F68F0" w:rsidRPr="00650EC7" w:rsidRDefault="008F68F0" w:rsidP="006D1EF7">
      <w:pPr>
        <w:spacing w:after="0"/>
        <w:rPr>
          <w:rFonts w:ascii="Calibri" w:hAnsi="Calibri" w:cs="Calibri"/>
        </w:rPr>
      </w:pPr>
    </w:p>
    <w:p w14:paraId="7455A126" w14:textId="22394310" w:rsidR="00650EC7" w:rsidRPr="00650EC7" w:rsidRDefault="008F68F0" w:rsidP="00650EC7">
      <w:pPr>
        <w:spacing w:after="0"/>
        <w:rPr>
          <w:rFonts w:ascii="Calibri" w:hAnsi="Calibri" w:cs="Calibri"/>
        </w:rPr>
      </w:pPr>
      <w:r w:rsidRPr="00650EC7">
        <w:rPr>
          <w:rFonts w:ascii="Calibri" w:hAnsi="Calibri" w:cs="Calibri"/>
        </w:rPr>
        <w:t>Discussions about the General Education within Arts and Sciences ha</w:t>
      </w:r>
      <w:r w:rsidR="00300BFF">
        <w:rPr>
          <w:rFonts w:ascii="Calibri" w:hAnsi="Calibri" w:cs="Calibri"/>
        </w:rPr>
        <w:t>ve</w:t>
      </w:r>
      <w:r w:rsidRPr="00650EC7">
        <w:rPr>
          <w:rFonts w:ascii="Calibri" w:hAnsi="Calibri" w:cs="Calibri"/>
        </w:rPr>
        <w:t xml:space="preserve"> recognized the </w:t>
      </w:r>
      <w:r w:rsidR="00650EC7">
        <w:rPr>
          <w:rFonts w:ascii="Calibri" w:hAnsi="Calibri" w:cs="Calibri"/>
        </w:rPr>
        <w:t>goal of</w:t>
      </w:r>
      <w:r w:rsidRPr="00650EC7">
        <w:rPr>
          <w:rFonts w:ascii="Calibri" w:hAnsi="Calibri" w:cs="Calibri"/>
        </w:rPr>
        <w:t xml:space="preserve"> a single General Education </w:t>
      </w:r>
      <w:r w:rsidR="00073DC3">
        <w:rPr>
          <w:rFonts w:ascii="Calibri" w:hAnsi="Calibri" w:cs="Calibri"/>
        </w:rPr>
        <w:t>Program</w:t>
      </w:r>
      <w:r w:rsidRPr="00650EC7">
        <w:rPr>
          <w:rFonts w:ascii="Calibri" w:hAnsi="Calibri" w:cs="Calibri"/>
        </w:rPr>
        <w:t xml:space="preserve"> for all undergraduates at OSU, regardless of their campus or college affiliation.  In that spirit, ASCC advances a proposal that reflects feedback from our colleagues at the regional campuses and from our colleagues in other colleges. Our discussions about the ways in which our proposed General Education </w:t>
      </w:r>
      <w:r w:rsidR="00073DC3">
        <w:rPr>
          <w:rFonts w:ascii="Calibri" w:hAnsi="Calibri" w:cs="Calibri"/>
        </w:rPr>
        <w:t>Program</w:t>
      </w:r>
      <w:r w:rsidRPr="00650EC7">
        <w:rPr>
          <w:rFonts w:ascii="Calibri" w:hAnsi="Calibri" w:cs="Calibri"/>
        </w:rPr>
        <w:t xml:space="preserve"> might </w:t>
      </w:r>
      <w:r w:rsidR="00E06F2C" w:rsidRPr="00650EC7">
        <w:rPr>
          <w:rFonts w:ascii="Calibri" w:hAnsi="Calibri" w:cs="Calibri"/>
        </w:rPr>
        <w:t xml:space="preserve">involve </w:t>
      </w:r>
      <w:r w:rsidRPr="00650EC7">
        <w:rPr>
          <w:rFonts w:ascii="Calibri" w:hAnsi="Calibri" w:cs="Calibri"/>
        </w:rPr>
        <w:t xml:space="preserve">students and faculty in the other colleges have been predicated on assurances from OAA about monitoring and mitigating the fiscal impact of the new curriculum on the College of Arts and Sciences. </w:t>
      </w:r>
      <w:r w:rsidR="00650EC7" w:rsidRPr="00650EC7">
        <w:t>We expect that the Arts and Sciences Faculty Senate and Arts and Sciences Curriculum Committee will lead local and University-wide discussions about these implementation issues, and that Arts and Sciences will retains its role in approving and assessing courses in the GE.</w:t>
      </w:r>
    </w:p>
    <w:p w14:paraId="1886D79D" w14:textId="297EE17B" w:rsidR="008F68F0" w:rsidRPr="00E06F2C" w:rsidRDefault="008F68F0" w:rsidP="006D1EF7">
      <w:pPr>
        <w:spacing w:after="0"/>
        <w:rPr>
          <w:rFonts w:ascii="Calibri" w:hAnsi="Calibri" w:cs="Calibri"/>
          <w:color w:val="000000" w:themeColor="text1"/>
        </w:rPr>
      </w:pPr>
    </w:p>
    <w:p w14:paraId="70FB78EE" w14:textId="77777777" w:rsidR="008F68F0" w:rsidRPr="00E06F2C" w:rsidRDefault="008F68F0" w:rsidP="006D1EF7">
      <w:pPr>
        <w:spacing w:after="0"/>
        <w:rPr>
          <w:rFonts w:ascii="Calibri" w:hAnsi="Calibri" w:cs="Calibri"/>
          <w:color w:val="000000" w:themeColor="text1"/>
        </w:rPr>
      </w:pPr>
    </w:p>
    <w:p w14:paraId="3547389A" w14:textId="0421A2AB" w:rsidR="007628B4" w:rsidRDefault="00923CD3" w:rsidP="006D1EF7">
      <w:pPr>
        <w:spacing w:after="0"/>
        <w:rPr>
          <w:rFonts w:ascii="Calibri" w:hAnsi="Calibri" w:cs="Calibri"/>
          <w:color w:val="212121"/>
          <w:shd w:val="clear" w:color="auto" w:fill="FFFFFF"/>
        </w:rPr>
      </w:pPr>
      <w:r>
        <w:rPr>
          <w:rFonts w:ascii="Calibri" w:hAnsi="Calibri" w:cs="Calibri"/>
          <w:color w:val="000000" w:themeColor="text1"/>
        </w:rPr>
        <w:t>We, the Curriculum Committee of the College o</w:t>
      </w:r>
      <w:r w:rsidR="000A0B21">
        <w:rPr>
          <w:rFonts w:ascii="Calibri" w:hAnsi="Calibri" w:cs="Calibri"/>
          <w:color w:val="000000" w:themeColor="text1"/>
        </w:rPr>
        <w:t>f Arts and Sciences, move</w:t>
      </w:r>
      <w:r>
        <w:rPr>
          <w:rFonts w:ascii="Calibri" w:hAnsi="Calibri" w:cs="Calibri"/>
          <w:color w:val="000000" w:themeColor="text1"/>
        </w:rPr>
        <w:t xml:space="preserve"> that The Arts and Sciences Senate adopt the General Education </w:t>
      </w:r>
      <w:r w:rsidR="00073DC3">
        <w:rPr>
          <w:rFonts w:ascii="Calibri" w:hAnsi="Calibri" w:cs="Calibri"/>
          <w:color w:val="000000" w:themeColor="text1"/>
        </w:rPr>
        <w:t>Program</w:t>
      </w:r>
      <w:r>
        <w:rPr>
          <w:rFonts w:ascii="Calibri" w:hAnsi="Calibri" w:cs="Calibri"/>
          <w:color w:val="000000" w:themeColor="text1"/>
        </w:rPr>
        <w:t xml:space="preserve"> detailed here on behalf of the faculty of the College of Arts and Sciences. </w:t>
      </w:r>
      <w:r w:rsidR="00F1592D" w:rsidRPr="00E06F2C">
        <w:rPr>
          <w:rFonts w:ascii="Calibri" w:hAnsi="Calibri" w:cs="Calibri"/>
          <w:color w:val="000000" w:themeColor="text1"/>
        </w:rPr>
        <w:t xml:space="preserve"> </w:t>
      </w:r>
      <w:r w:rsidR="008F68F0" w:rsidRPr="00E06F2C">
        <w:rPr>
          <w:rFonts w:ascii="Calibri" w:hAnsi="Calibri" w:cs="Calibri"/>
          <w:color w:val="000000" w:themeColor="text1"/>
        </w:rPr>
        <w:t>Approval</w:t>
      </w:r>
      <w:r w:rsidR="00527E14" w:rsidRPr="00E06F2C">
        <w:rPr>
          <w:rFonts w:ascii="Calibri" w:hAnsi="Calibri" w:cs="Calibri"/>
          <w:color w:val="000000" w:themeColor="text1"/>
        </w:rPr>
        <w:t xml:space="preserve"> </w:t>
      </w:r>
      <w:r w:rsidR="00605B07" w:rsidRPr="00E06F2C">
        <w:rPr>
          <w:rFonts w:ascii="Calibri" w:hAnsi="Calibri" w:cs="Calibri"/>
          <w:color w:val="000000" w:themeColor="text1"/>
        </w:rPr>
        <w:t xml:space="preserve">of this proposal </w:t>
      </w:r>
      <w:r w:rsidR="00E06F2C" w:rsidRPr="00E06F2C">
        <w:rPr>
          <w:rFonts w:ascii="Calibri" w:hAnsi="Calibri" w:cs="Calibri"/>
          <w:color w:val="000000" w:themeColor="text1"/>
        </w:rPr>
        <w:t xml:space="preserve">indicates </w:t>
      </w:r>
      <w:r w:rsidR="00527E14" w:rsidRPr="00E06F2C">
        <w:rPr>
          <w:rFonts w:ascii="Calibri" w:hAnsi="Calibri" w:cs="Calibri"/>
          <w:color w:val="000000" w:themeColor="text1"/>
        </w:rPr>
        <w:t>approval of the structure, distribution of credits, and general framework specified here</w:t>
      </w:r>
      <w:r w:rsidR="00F1592D" w:rsidRPr="00E06F2C">
        <w:rPr>
          <w:rFonts w:ascii="Calibri" w:hAnsi="Calibri" w:cs="Calibri"/>
          <w:color w:val="000000" w:themeColor="text1"/>
        </w:rPr>
        <w:t xml:space="preserve">. </w:t>
      </w:r>
      <w:r w:rsidR="00E06F2C" w:rsidRPr="00E06F2C">
        <w:rPr>
          <w:rFonts w:ascii="Calibri" w:hAnsi="Calibri" w:cs="Calibri"/>
          <w:color w:val="000000" w:themeColor="text1"/>
        </w:rPr>
        <w:t>This a</w:t>
      </w:r>
      <w:r w:rsidR="007628B4" w:rsidRPr="00E06F2C">
        <w:rPr>
          <w:rFonts w:ascii="Calibri" w:hAnsi="Calibri" w:cs="Calibri"/>
          <w:color w:val="000000" w:themeColor="text1"/>
        </w:rPr>
        <w:t xml:space="preserve">pproval is </w:t>
      </w:r>
      <w:r w:rsidR="00E06F2C" w:rsidRPr="00E06F2C">
        <w:rPr>
          <w:rFonts w:ascii="Calibri" w:hAnsi="Calibri" w:cs="Calibri"/>
          <w:color w:val="000000" w:themeColor="text1"/>
        </w:rPr>
        <w:t>understood to be</w:t>
      </w:r>
      <w:r w:rsidR="007628B4" w:rsidRPr="00E06F2C">
        <w:rPr>
          <w:rFonts w:ascii="Calibri" w:hAnsi="Calibri" w:cs="Calibri"/>
          <w:color w:val="000000" w:themeColor="text1"/>
        </w:rPr>
        <w:t xml:space="preserve"> contingent on</w:t>
      </w:r>
      <w:r w:rsidR="00F1592D" w:rsidRPr="00E06F2C">
        <w:rPr>
          <w:rFonts w:ascii="Calibri" w:hAnsi="Calibri" w:cs="Calibri"/>
          <w:color w:val="000000" w:themeColor="text1"/>
        </w:rPr>
        <w:t xml:space="preserve"> the fiscal assurances from OAA and on the details of implementation. </w:t>
      </w:r>
      <w:r w:rsidR="00F1592D" w:rsidRPr="00E06F2C">
        <w:rPr>
          <w:rFonts w:ascii="Calibri" w:hAnsi="Calibri" w:cs="Calibri"/>
          <w:color w:val="212121"/>
          <w:shd w:val="clear" w:color="auto" w:fill="FFFFFF"/>
        </w:rPr>
        <w:t xml:space="preserve">As </w:t>
      </w:r>
      <w:r w:rsidR="00E06F2C" w:rsidRPr="00E06F2C">
        <w:rPr>
          <w:rFonts w:ascii="Calibri" w:hAnsi="Calibri" w:cs="Calibri"/>
          <w:color w:val="212121"/>
          <w:shd w:val="clear" w:color="auto" w:fill="FFFFFF"/>
        </w:rPr>
        <w:t>i</w:t>
      </w:r>
      <w:r w:rsidR="00F1592D" w:rsidRPr="00E06F2C">
        <w:rPr>
          <w:rFonts w:ascii="Calibri" w:hAnsi="Calibri" w:cs="Calibri"/>
          <w:color w:val="212121"/>
          <w:shd w:val="clear" w:color="auto" w:fill="FFFFFF"/>
        </w:rPr>
        <w:t xml:space="preserve">mplementation proceeds, the Steering Committee of ASC Senate, with </w:t>
      </w:r>
      <w:r w:rsidR="00F1592D" w:rsidRPr="00923CD3">
        <w:rPr>
          <w:rFonts w:ascii="Calibri" w:hAnsi="Calibri" w:cs="Calibri"/>
          <w:color w:val="212121"/>
          <w:shd w:val="clear" w:color="auto" w:fill="FFFFFF"/>
        </w:rPr>
        <w:t xml:space="preserve">input from </w:t>
      </w:r>
      <w:r w:rsidR="00E06F2C" w:rsidRPr="00923CD3">
        <w:rPr>
          <w:rFonts w:ascii="Calibri" w:hAnsi="Calibri" w:cs="Calibri"/>
          <w:color w:val="212121"/>
          <w:shd w:val="clear" w:color="auto" w:fill="FFFFFF"/>
        </w:rPr>
        <w:t>the ASC Associate Dean for Curriculum</w:t>
      </w:r>
      <w:r w:rsidR="00F1592D" w:rsidRPr="00923CD3">
        <w:rPr>
          <w:rFonts w:ascii="Calibri" w:hAnsi="Calibri" w:cs="Calibri"/>
          <w:color w:val="212121"/>
          <w:shd w:val="clear" w:color="auto" w:fill="FFFFFF"/>
        </w:rPr>
        <w:t>, will evaluate whether these </w:t>
      </w:r>
      <w:r>
        <w:rPr>
          <w:rFonts w:ascii="Calibri" w:hAnsi="Calibri" w:cs="Calibri"/>
          <w:color w:val="212121"/>
          <w:shd w:val="clear" w:color="auto" w:fill="FFFFFF"/>
        </w:rPr>
        <w:t>contingencies</w:t>
      </w:r>
      <w:r w:rsidR="00F1592D" w:rsidRPr="00923CD3">
        <w:rPr>
          <w:rFonts w:ascii="Calibri" w:hAnsi="Calibri" w:cs="Calibri"/>
          <w:color w:val="212121"/>
          <w:shd w:val="clear" w:color="auto" w:fill="FFFFFF"/>
        </w:rPr>
        <w:t> have been satisfied.</w:t>
      </w:r>
      <w:r w:rsidR="00F1592D" w:rsidRPr="00E06F2C">
        <w:rPr>
          <w:rFonts w:ascii="Calibri" w:hAnsi="Calibri" w:cs="Calibri"/>
          <w:color w:val="212121"/>
          <w:shd w:val="clear" w:color="auto" w:fill="FFFFFF"/>
        </w:rPr>
        <w:t xml:space="preserve"> </w:t>
      </w:r>
    </w:p>
    <w:p w14:paraId="28DC27E8" w14:textId="77777777" w:rsidR="00A73494" w:rsidRDefault="00A73494" w:rsidP="003C7716">
      <w:pPr>
        <w:rPr>
          <w:b/>
          <w:color w:val="000000" w:themeColor="text1"/>
        </w:rPr>
      </w:pPr>
      <w:r>
        <w:rPr>
          <w:b/>
          <w:noProof/>
          <w:color w:val="000000" w:themeColor="text1"/>
        </w:rPr>
        <w:lastRenderedPageBreak/>
        <w:drawing>
          <wp:inline distT="0" distB="0" distL="0" distR="0" wp14:anchorId="37DD1979" wp14:editId="51619F0A">
            <wp:extent cx="6858000" cy="3286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ion diagramrevised.jpg"/>
                    <pic:cNvPicPr/>
                  </pic:nvPicPr>
                  <pic:blipFill rotWithShape="1">
                    <a:blip r:embed="rId9">
                      <a:extLst>
                        <a:ext uri="{28A0092B-C50C-407E-A947-70E740481C1C}">
                          <a14:useLocalDpi xmlns:a14="http://schemas.microsoft.com/office/drawing/2010/main" val="0"/>
                        </a:ext>
                      </a:extLst>
                    </a:blip>
                    <a:srcRect t="10208" b="53855"/>
                    <a:stretch/>
                  </pic:blipFill>
                  <pic:spPr bwMode="auto">
                    <a:xfrm>
                      <a:off x="0" y="0"/>
                      <a:ext cx="6858000" cy="3286125"/>
                    </a:xfrm>
                    <a:prstGeom prst="rect">
                      <a:avLst/>
                    </a:prstGeom>
                    <a:ln>
                      <a:noFill/>
                    </a:ln>
                    <a:extLst>
                      <a:ext uri="{53640926-AAD7-44D8-BBD7-CCE9431645EC}">
                        <a14:shadowObscured xmlns:a14="http://schemas.microsoft.com/office/drawing/2010/main"/>
                      </a:ext>
                    </a:extLst>
                  </pic:spPr>
                </pic:pic>
              </a:graphicData>
            </a:graphic>
          </wp:inline>
        </w:drawing>
      </w:r>
    </w:p>
    <w:p w14:paraId="3D9F136F" w14:textId="291F17AE" w:rsidR="003C7716" w:rsidRPr="00B425D1" w:rsidRDefault="003C7716" w:rsidP="003C7716">
      <w:pPr>
        <w:rPr>
          <w:b/>
          <w:color w:val="000000" w:themeColor="text1"/>
        </w:rPr>
      </w:pPr>
      <w:bookmarkStart w:id="0" w:name="_GoBack"/>
      <w:bookmarkEnd w:id="0"/>
      <w:r w:rsidRPr="00B425D1">
        <w:rPr>
          <w:b/>
          <w:color w:val="000000" w:themeColor="text1"/>
        </w:rPr>
        <w:t xml:space="preserve">GOAL 1: Successful students will demonstrate qualities, abilities and characteristics that prepare them to be engaged citizens and leaders for life. </w:t>
      </w:r>
    </w:p>
    <w:p w14:paraId="6F1F5596" w14:textId="02A7C549" w:rsidR="003C7716" w:rsidRDefault="003C7716" w:rsidP="003C7716">
      <w:pPr>
        <w:rPr>
          <w:b/>
          <w:color w:val="000000" w:themeColor="text1"/>
        </w:rPr>
      </w:pPr>
      <w:r w:rsidRPr="00B425D1">
        <w:rPr>
          <w:b/>
          <w:color w:val="000000" w:themeColor="text1"/>
        </w:rPr>
        <w:t xml:space="preserve">Goal 2: Successful students will engage with and apply a range of important modes of human thought and inquiry. </w:t>
      </w:r>
    </w:p>
    <w:p w14:paraId="5FB6285F" w14:textId="77777777" w:rsidR="003C7716" w:rsidRPr="00B425D1" w:rsidRDefault="003C7716" w:rsidP="003C7716">
      <w:pPr>
        <w:rPr>
          <w:b/>
          <w:color w:val="000000" w:themeColor="text1"/>
        </w:rPr>
      </w:pPr>
      <w:r w:rsidRPr="00B425D1">
        <w:rPr>
          <w:b/>
          <w:color w:val="000000" w:themeColor="text1"/>
        </w:rPr>
        <w:t xml:space="preserve">Goal 3: Successful students will be educated global citizens who can examine significant aspects of the human condition in local, state, national, and global settings today, and in the foreseeable future. </w:t>
      </w:r>
    </w:p>
    <w:p w14:paraId="228F533F" w14:textId="754596A9" w:rsidR="00EE3F7D" w:rsidRDefault="00EE3F7D" w:rsidP="006D1EF7">
      <w:pPr>
        <w:spacing w:after="0"/>
        <w:rPr>
          <w:rFonts w:ascii="Calibri" w:hAnsi="Calibri" w:cs="Calibri"/>
          <w:color w:val="212121"/>
          <w:shd w:val="clear" w:color="auto" w:fill="FFFFFF"/>
        </w:rPr>
      </w:pPr>
    </w:p>
    <w:p w14:paraId="5B67C32B" w14:textId="77777777" w:rsidR="002759B1" w:rsidRDefault="002759B1" w:rsidP="006D1EF7">
      <w:pPr>
        <w:spacing w:after="0"/>
        <w:rPr>
          <w:rFonts w:ascii="Calibri" w:hAnsi="Calibri" w:cs="Calibri"/>
          <w:b/>
          <w:color w:val="212121"/>
          <w:shd w:val="clear" w:color="auto" w:fill="FFFFFF"/>
        </w:rPr>
      </w:pPr>
      <w:r w:rsidRPr="002759B1">
        <w:rPr>
          <w:rFonts w:ascii="Calibri" w:hAnsi="Calibri" w:cs="Calibri"/>
          <w:b/>
          <w:color w:val="212121"/>
          <w:shd w:val="clear" w:color="auto" w:fill="FFFFFF"/>
        </w:rPr>
        <w:t>Special Notes</w:t>
      </w:r>
    </w:p>
    <w:p w14:paraId="40D72D90" w14:textId="70359DB9" w:rsidR="00EE3F7D" w:rsidRDefault="003C7716" w:rsidP="006D1EF7">
      <w:pPr>
        <w:spacing w:after="0"/>
        <w:rPr>
          <w:rFonts w:ascii="Calibri" w:hAnsi="Calibri" w:cs="Calibri"/>
          <w:color w:val="212121"/>
          <w:sz w:val="18"/>
          <w:szCs w:val="18"/>
          <w:shd w:val="clear" w:color="auto" w:fill="FFFFFF"/>
        </w:rPr>
      </w:pPr>
      <w:r w:rsidRPr="003C7716">
        <w:rPr>
          <w:rFonts w:ascii="Calibri" w:hAnsi="Calibri" w:cs="Calibri"/>
          <w:color w:val="212121"/>
          <w:sz w:val="18"/>
          <w:szCs w:val="18"/>
          <w:shd w:val="clear" w:color="auto" w:fill="FFFFFF"/>
        </w:rPr>
        <w:t xml:space="preserve">The </w:t>
      </w:r>
      <w:r w:rsidR="00EE3F7D" w:rsidRPr="003C7716">
        <w:rPr>
          <w:rFonts w:ascii="Calibri" w:hAnsi="Calibri" w:cs="Calibri"/>
          <w:color w:val="212121"/>
          <w:sz w:val="18"/>
          <w:szCs w:val="18"/>
          <w:shd w:val="clear" w:color="auto" w:fill="FFFFFF"/>
        </w:rPr>
        <w:t>World Languages</w:t>
      </w:r>
      <w:r w:rsidRPr="003C7716">
        <w:rPr>
          <w:rFonts w:ascii="Calibri" w:hAnsi="Calibri" w:cs="Calibri"/>
          <w:color w:val="212121"/>
          <w:sz w:val="18"/>
          <w:szCs w:val="18"/>
          <w:shd w:val="clear" w:color="auto" w:fill="FFFFFF"/>
        </w:rPr>
        <w:t xml:space="preserve"> requirement for </w:t>
      </w:r>
      <w:r w:rsidR="00300BFF">
        <w:rPr>
          <w:rFonts w:ascii="Calibri" w:hAnsi="Calibri" w:cs="Calibri"/>
          <w:color w:val="212121"/>
          <w:sz w:val="18"/>
          <w:szCs w:val="18"/>
          <w:shd w:val="clear" w:color="auto" w:fill="FFFFFF"/>
        </w:rPr>
        <w:t xml:space="preserve">BA and BS </w:t>
      </w:r>
      <w:r w:rsidRPr="003C7716">
        <w:rPr>
          <w:rFonts w:ascii="Calibri" w:hAnsi="Calibri" w:cs="Calibri"/>
          <w:color w:val="212121"/>
          <w:sz w:val="18"/>
          <w:szCs w:val="18"/>
          <w:shd w:val="clear" w:color="auto" w:fill="FFFFFF"/>
        </w:rPr>
        <w:t xml:space="preserve">degrees in ASC expects students to demonstrate proficiency </w:t>
      </w:r>
      <w:r w:rsidR="00300BFF">
        <w:rPr>
          <w:rFonts w:ascii="Calibri" w:hAnsi="Calibri" w:cs="Calibri"/>
          <w:color w:val="212121"/>
          <w:sz w:val="18"/>
          <w:szCs w:val="18"/>
          <w:shd w:val="clear" w:color="auto" w:fill="FFFFFF"/>
        </w:rPr>
        <w:t>to</w:t>
      </w:r>
      <w:r w:rsidRPr="003C7716">
        <w:rPr>
          <w:rFonts w:ascii="Calibri" w:hAnsi="Calibri" w:cs="Calibri"/>
          <w:color w:val="212121"/>
          <w:sz w:val="18"/>
          <w:szCs w:val="18"/>
          <w:shd w:val="clear" w:color="auto" w:fill="FFFFFF"/>
        </w:rPr>
        <w:t xml:space="preserve"> the level recognized at OSU as 1103.  Students placing below this level will take courses to meet this proficiency level; students who test beyond this minimum level do not need to take additional courses. </w:t>
      </w:r>
      <w:r w:rsidR="002759B1">
        <w:rPr>
          <w:rFonts w:ascii="Calibri" w:hAnsi="Calibri" w:cs="Calibri"/>
          <w:color w:val="212121"/>
          <w:sz w:val="18"/>
          <w:szCs w:val="18"/>
          <w:shd w:val="clear" w:color="auto" w:fill="FFFFFF"/>
        </w:rPr>
        <w:t xml:space="preserve">See </w:t>
      </w:r>
      <w:r w:rsidR="00300BFF">
        <w:rPr>
          <w:rFonts w:ascii="Calibri" w:hAnsi="Calibri" w:cs="Calibri"/>
          <w:color w:val="212121"/>
          <w:sz w:val="18"/>
          <w:szCs w:val="18"/>
          <w:shd w:val="clear" w:color="auto" w:fill="FFFFFF"/>
        </w:rPr>
        <w:t xml:space="preserve">Implementation Recommendations </w:t>
      </w:r>
      <w:r w:rsidR="002759B1">
        <w:rPr>
          <w:rFonts w:ascii="Calibri" w:hAnsi="Calibri" w:cs="Calibri"/>
          <w:color w:val="212121"/>
          <w:sz w:val="18"/>
          <w:szCs w:val="18"/>
          <w:shd w:val="clear" w:color="auto" w:fill="FFFFFF"/>
        </w:rPr>
        <w:t>for details.</w:t>
      </w:r>
    </w:p>
    <w:p w14:paraId="53F0B0BA" w14:textId="53B8BD57" w:rsidR="00955716" w:rsidRDefault="00955716" w:rsidP="006D1EF7">
      <w:pPr>
        <w:spacing w:after="0"/>
        <w:rPr>
          <w:rFonts w:ascii="Calibri" w:hAnsi="Calibri" w:cs="Calibri"/>
          <w:color w:val="212121"/>
          <w:sz w:val="18"/>
          <w:szCs w:val="18"/>
          <w:shd w:val="clear" w:color="auto" w:fill="FFFFFF"/>
        </w:rPr>
      </w:pPr>
    </w:p>
    <w:p w14:paraId="45F757D6" w14:textId="19127050" w:rsidR="00CC35CF" w:rsidRDefault="00955716" w:rsidP="00CC35CF">
      <w:pPr>
        <w:spacing w:after="0"/>
        <w:rPr>
          <w:rFonts w:ascii="Calibri" w:hAnsi="Calibri" w:cs="Calibri"/>
          <w:color w:val="212121"/>
          <w:sz w:val="18"/>
          <w:szCs w:val="18"/>
          <w:shd w:val="clear" w:color="auto" w:fill="FFFFFF"/>
        </w:rPr>
      </w:pPr>
      <w:r>
        <w:rPr>
          <w:rFonts w:ascii="Calibri" w:hAnsi="Calibri" w:cs="Calibri"/>
          <w:color w:val="212121"/>
          <w:sz w:val="18"/>
          <w:szCs w:val="18"/>
          <w:shd w:val="clear" w:color="auto" w:fill="FFFFFF"/>
        </w:rPr>
        <w:t>Opportunities to develop proficiency in data analysis and in writing are expected as part of the major program. Major programs that do not have interest or capacity to develop writing-intensive courses should require a course in writing offered by the Department of English</w:t>
      </w:r>
      <w:r w:rsidR="00CC35CF">
        <w:rPr>
          <w:rFonts w:ascii="Calibri" w:hAnsi="Calibri" w:cs="Calibri"/>
          <w:color w:val="212121"/>
          <w:sz w:val="18"/>
          <w:szCs w:val="18"/>
          <w:shd w:val="clear" w:color="auto" w:fill="FFFFFF"/>
        </w:rPr>
        <w:t>. See Implementation Recommendations for details.</w:t>
      </w:r>
    </w:p>
    <w:p w14:paraId="0A593221" w14:textId="77777777" w:rsidR="003C7716" w:rsidRPr="003C7716" w:rsidRDefault="003C7716" w:rsidP="006D1EF7">
      <w:pPr>
        <w:spacing w:after="0"/>
        <w:rPr>
          <w:rFonts w:ascii="Calibri" w:hAnsi="Calibri" w:cs="Calibri"/>
          <w:color w:val="212121"/>
          <w:sz w:val="18"/>
          <w:szCs w:val="18"/>
          <w:shd w:val="clear" w:color="auto" w:fill="FFFFFF"/>
        </w:rPr>
      </w:pPr>
    </w:p>
    <w:p w14:paraId="6AE110D4" w14:textId="56BFD861" w:rsidR="003C7716" w:rsidRDefault="003C7716" w:rsidP="003C7716">
      <w:pPr>
        <w:spacing w:after="0"/>
        <w:rPr>
          <w:rFonts w:ascii="Calibri" w:hAnsi="Calibri" w:cs="Calibri"/>
          <w:color w:val="212121"/>
          <w:sz w:val="18"/>
          <w:szCs w:val="18"/>
          <w:shd w:val="clear" w:color="auto" w:fill="FFFFFF"/>
        </w:rPr>
      </w:pPr>
      <w:r w:rsidRPr="003C7716">
        <w:rPr>
          <w:rFonts w:ascii="Calibri" w:hAnsi="Calibri" w:cs="Calibri"/>
          <w:b/>
          <w:color w:val="212121"/>
          <w:sz w:val="18"/>
          <w:szCs w:val="18"/>
          <w:shd w:val="clear" w:color="auto" w:fill="FFFFFF"/>
        </w:rPr>
        <w:t>*</w:t>
      </w:r>
      <w:r w:rsidRPr="003C7716">
        <w:rPr>
          <w:rFonts w:ascii="Calibri" w:hAnsi="Calibri" w:cs="Calibri"/>
          <w:color w:val="212121"/>
          <w:sz w:val="18"/>
          <w:szCs w:val="18"/>
          <w:shd w:val="clear" w:color="auto" w:fill="FFFFFF"/>
        </w:rPr>
        <w:t xml:space="preserve"> The Themes included in the second level are the “Choice” Themes: students take courses in one of these, </w:t>
      </w:r>
      <w:r w:rsidRPr="002759B1">
        <w:rPr>
          <w:rFonts w:ascii="Calibri" w:hAnsi="Calibri" w:cs="Calibri"/>
          <w:color w:val="212121"/>
          <w:sz w:val="18"/>
          <w:szCs w:val="18"/>
          <w:u w:val="single"/>
          <w:shd w:val="clear" w:color="auto" w:fill="FFFFFF"/>
        </w:rPr>
        <w:t>and</w:t>
      </w:r>
      <w:r w:rsidRPr="003C7716">
        <w:rPr>
          <w:rFonts w:ascii="Calibri" w:hAnsi="Calibri" w:cs="Calibri"/>
          <w:color w:val="212121"/>
          <w:sz w:val="18"/>
          <w:szCs w:val="18"/>
          <w:shd w:val="clear" w:color="auto" w:fill="FFFFFF"/>
        </w:rPr>
        <w:t xml:space="preserve"> in </w:t>
      </w:r>
      <w:r w:rsidR="002759B1">
        <w:rPr>
          <w:rFonts w:ascii="Calibri" w:hAnsi="Calibri" w:cs="Calibri"/>
          <w:color w:val="212121"/>
          <w:sz w:val="18"/>
          <w:szCs w:val="18"/>
          <w:shd w:val="clear" w:color="auto" w:fill="FFFFFF"/>
        </w:rPr>
        <w:t>“</w:t>
      </w:r>
      <w:r w:rsidRPr="003C7716">
        <w:rPr>
          <w:rFonts w:ascii="Calibri" w:hAnsi="Calibri" w:cs="Calibri"/>
          <w:color w:val="212121"/>
          <w:sz w:val="18"/>
          <w:szCs w:val="18"/>
          <w:shd w:val="clear" w:color="auto" w:fill="FFFFFF"/>
        </w:rPr>
        <w:t>Citizenship for a Diverse and Just World.</w:t>
      </w:r>
      <w:r w:rsidR="002759B1">
        <w:rPr>
          <w:rFonts w:ascii="Calibri" w:hAnsi="Calibri" w:cs="Calibri"/>
          <w:color w:val="212121"/>
          <w:sz w:val="18"/>
          <w:szCs w:val="18"/>
          <w:shd w:val="clear" w:color="auto" w:fill="FFFFFF"/>
        </w:rPr>
        <w:t>”</w:t>
      </w:r>
      <w:r w:rsidRPr="003C7716">
        <w:rPr>
          <w:rFonts w:ascii="Calibri" w:hAnsi="Calibri" w:cs="Calibri"/>
          <w:color w:val="212121"/>
          <w:sz w:val="18"/>
          <w:szCs w:val="18"/>
          <w:shd w:val="clear" w:color="auto" w:fill="FFFFFF"/>
        </w:rPr>
        <w:t xml:space="preserve">  The Choice themes specified are those developed by the </w:t>
      </w:r>
      <w:r w:rsidR="00300BFF">
        <w:rPr>
          <w:rFonts w:ascii="Calibri" w:hAnsi="Calibri" w:cs="Calibri"/>
          <w:color w:val="212121"/>
          <w:sz w:val="18"/>
          <w:szCs w:val="18"/>
          <w:shd w:val="clear" w:color="auto" w:fill="FFFFFF"/>
        </w:rPr>
        <w:t xml:space="preserve">faculty of the </w:t>
      </w:r>
      <w:r w:rsidRPr="003C7716">
        <w:rPr>
          <w:rFonts w:ascii="Calibri" w:hAnsi="Calibri" w:cs="Calibri"/>
          <w:color w:val="212121"/>
          <w:sz w:val="18"/>
          <w:szCs w:val="18"/>
          <w:shd w:val="clear" w:color="auto" w:fill="FFFFFF"/>
        </w:rPr>
        <w:t xml:space="preserve">GE Review Committee. The unspecified choice is a placeholder </w:t>
      </w:r>
      <w:r w:rsidR="00300BFF">
        <w:rPr>
          <w:rFonts w:ascii="Calibri" w:hAnsi="Calibri" w:cs="Calibri"/>
          <w:color w:val="212121"/>
          <w:sz w:val="18"/>
          <w:szCs w:val="18"/>
          <w:shd w:val="clear" w:color="auto" w:fill="FFFFFF"/>
        </w:rPr>
        <w:t xml:space="preserve">that allows </w:t>
      </w:r>
      <w:r w:rsidRPr="003C7716">
        <w:rPr>
          <w:rFonts w:ascii="Calibri" w:hAnsi="Calibri" w:cs="Calibri"/>
          <w:color w:val="212121"/>
          <w:sz w:val="18"/>
          <w:szCs w:val="18"/>
          <w:shd w:val="clear" w:color="auto" w:fill="FFFFFF"/>
        </w:rPr>
        <w:t>for a</w:t>
      </w:r>
      <w:r w:rsidR="00300BFF">
        <w:rPr>
          <w:rFonts w:ascii="Calibri" w:hAnsi="Calibri" w:cs="Calibri"/>
          <w:color w:val="212121"/>
          <w:sz w:val="18"/>
          <w:szCs w:val="18"/>
          <w:shd w:val="clear" w:color="auto" w:fill="FFFFFF"/>
        </w:rPr>
        <w:t>n additional</w:t>
      </w:r>
      <w:r w:rsidRPr="003C7716">
        <w:rPr>
          <w:rFonts w:ascii="Calibri" w:hAnsi="Calibri" w:cs="Calibri"/>
          <w:color w:val="212121"/>
          <w:sz w:val="18"/>
          <w:szCs w:val="18"/>
          <w:shd w:val="clear" w:color="auto" w:fill="FFFFFF"/>
        </w:rPr>
        <w:t xml:space="preserve"> Theme to be developed. The Choice Themes will all be evaluated, modified, and may be taken out of rotation</w:t>
      </w:r>
      <w:r w:rsidR="00CC35CF">
        <w:rPr>
          <w:rFonts w:ascii="Calibri" w:hAnsi="Calibri" w:cs="Calibri"/>
          <w:color w:val="212121"/>
          <w:sz w:val="18"/>
          <w:szCs w:val="18"/>
          <w:shd w:val="clear" w:color="auto" w:fill="FFFFFF"/>
        </w:rPr>
        <w:t>. See Implementation Recommendations for details.</w:t>
      </w:r>
    </w:p>
    <w:p w14:paraId="5A3F3423" w14:textId="77777777" w:rsidR="003C7716" w:rsidRPr="003C7716" w:rsidRDefault="003C7716" w:rsidP="003C7716">
      <w:pPr>
        <w:spacing w:after="0"/>
        <w:rPr>
          <w:rFonts w:ascii="Calibri" w:hAnsi="Calibri" w:cs="Calibri"/>
          <w:color w:val="212121"/>
          <w:sz w:val="18"/>
          <w:szCs w:val="18"/>
          <w:shd w:val="clear" w:color="auto" w:fill="FFFFFF"/>
        </w:rPr>
      </w:pPr>
    </w:p>
    <w:p w14:paraId="5297B021" w14:textId="15F3E6A2" w:rsidR="009F12EE" w:rsidRPr="00353963" w:rsidRDefault="003C7716" w:rsidP="002759B1">
      <w:pPr>
        <w:spacing w:after="0"/>
        <w:rPr>
          <w:b/>
          <w:color w:val="000000" w:themeColor="text1"/>
        </w:rPr>
      </w:pPr>
      <w:r w:rsidRPr="003C7716">
        <w:rPr>
          <w:rFonts w:ascii="Calibri" w:hAnsi="Calibri" w:cs="Calibri"/>
          <w:b/>
          <w:color w:val="212121"/>
          <w:sz w:val="18"/>
          <w:szCs w:val="18"/>
          <w:shd w:val="clear" w:color="auto" w:fill="FFFFFF"/>
        </w:rPr>
        <w:t xml:space="preserve">† </w:t>
      </w:r>
      <w:r w:rsidRPr="003C7716">
        <w:rPr>
          <w:rFonts w:ascii="Calibri" w:hAnsi="Calibri" w:cs="Calibri"/>
          <w:color w:val="212121"/>
          <w:sz w:val="18"/>
          <w:szCs w:val="18"/>
          <w:shd w:val="clear" w:color="auto" w:fill="FFFFFF"/>
        </w:rPr>
        <w:t xml:space="preserve">Students have the opportunity to satisfy the Themes by taking either 2, 3-credit classes or by a single 4-credit course that uses High Impact Practices (see </w:t>
      </w:r>
      <w:r w:rsidR="002759B1">
        <w:rPr>
          <w:rFonts w:ascii="Calibri" w:hAnsi="Calibri" w:cs="Calibri"/>
          <w:color w:val="212121"/>
          <w:sz w:val="18"/>
          <w:szCs w:val="18"/>
          <w:shd w:val="clear" w:color="auto" w:fill="FFFFFF"/>
        </w:rPr>
        <w:t xml:space="preserve">definitions of these practices in </w:t>
      </w:r>
      <w:r w:rsidR="00CC35CF">
        <w:rPr>
          <w:rFonts w:ascii="Calibri" w:hAnsi="Calibri" w:cs="Calibri"/>
          <w:color w:val="212121"/>
          <w:sz w:val="18"/>
          <w:szCs w:val="18"/>
          <w:shd w:val="clear" w:color="auto" w:fill="FFFFFF"/>
        </w:rPr>
        <w:t xml:space="preserve">Implementation </w:t>
      </w:r>
      <w:r w:rsidRPr="003C7716">
        <w:rPr>
          <w:rFonts w:ascii="Calibri" w:hAnsi="Calibri" w:cs="Calibri"/>
          <w:color w:val="212121"/>
          <w:sz w:val="18"/>
          <w:szCs w:val="18"/>
          <w:shd w:val="clear" w:color="auto" w:fill="FFFFFF"/>
        </w:rPr>
        <w:t>Recommendations).</w:t>
      </w:r>
    </w:p>
    <w:p w14:paraId="16E9AA13" w14:textId="772BAB41" w:rsidR="00420347" w:rsidRPr="00353963" w:rsidRDefault="00420347">
      <w:pPr>
        <w:rPr>
          <w:color w:val="000000" w:themeColor="text1"/>
        </w:rPr>
      </w:pPr>
    </w:p>
    <w:sectPr w:rsidR="00420347" w:rsidRPr="00353963" w:rsidSect="002759B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EAB56" w14:textId="77777777" w:rsidR="00AB2CDB" w:rsidRDefault="00AB2CDB" w:rsidP="00230B47">
      <w:pPr>
        <w:spacing w:after="0" w:line="240" w:lineRule="auto"/>
      </w:pPr>
      <w:r>
        <w:separator/>
      </w:r>
    </w:p>
  </w:endnote>
  <w:endnote w:type="continuationSeparator" w:id="0">
    <w:p w14:paraId="0650FA11" w14:textId="77777777" w:rsidR="00AB2CDB" w:rsidRDefault="00AB2CDB" w:rsidP="00230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95177" w14:textId="77777777" w:rsidR="00AB2CDB" w:rsidRDefault="00AB2CDB" w:rsidP="00230B47">
      <w:pPr>
        <w:spacing w:after="0" w:line="240" w:lineRule="auto"/>
      </w:pPr>
      <w:r>
        <w:separator/>
      </w:r>
    </w:p>
  </w:footnote>
  <w:footnote w:type="continuationSeparator" w:id="0">
    <w:p w14:paraId="5C6E9312" w14:textId="77777777" w:rsidR="00AB2CDB" w:rsidRDefault="00AB2CDB" w:rsidP="00230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1D5"/>
    <w:multiLevelType w:val="hybridMultilevel"/>
    <w:tmpl w:val="A5D693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D1814"/>
    <w:multiLevelType w:val="hybridMultilevel"/>
    <w:tmpl w:val="2D32290C"/>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542BC"/>
    <w:multiLevelType w:val="hybridMultilevel"/>
    <w:tmpl w:val="BD98EF46"/>
    <w:lvl w:ilvl="0" w:tplc="94A6433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E5334"/>
    <w:multiLevelType w:val="hybridMultilevel"/>
    <w:tmpl w:val="93F0D764"/>
    <w:lvl w:ilvl="0" w:tplc="9516F6AA">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83FA0"/>
    <w:multiLevelType w:val="hybridMultilevel"/>
    <w:tmpl w:val="4684B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A050A"/>
    <w:multiLevelType w:val="hybridMultilevel"/>
    <w:tmpl w:val="FD24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95A01"/>
    <w:multiLevelType w:val="hybridMultilevel"/>
    <w:tmpl w:val="4BC0712E"/>
    <w:lvl w:ilvl="0" w:tplc="DD2A35F0">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12F69"/>
    <w:multiLevelType w:val="hybridMultilevel"/>
    <w:tmpl w:val="13423B9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5114245"/>
    <w:multiLevelType w:val="hybridMultilevel"/>
    <w:tmpl w:val="25B0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85F7E"/>
    <w:multiLevelType w:val="hybridMultilevel"/>
    <w:tmpl w:val="934C56E4"/>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623FC"/>
    <w:multiLevelType w:val="hybridMultilevel"/>
    <w:tmpl w:val="596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937D2"/>
    <w:multiLevelType w:val="hybridMultilevel"/>
    <w:tmpl w:val="B12683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8B7C21"/>
    <w:multiLevelType w:val="hybridMultilevel"/>
    <w:tmpl w:val="A6BE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254B9"/>
    <w:multiLevelType w:val="hybridMultilevel"/>
    <w:tmpl w:val="0264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F6AC2"/>
    <w:multiLevelType w:val="hybridMultilevel"/>
    <w:tmpl w:val="AF40A4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2B836CA9"/>
    <w:multiLevelType w:val="hybridMultilevel"/>
    <w:tmpl w:val="AABC72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F5189"/>
    <w:multiLevelType w:val="hybridMultilevel"/>
    <w:tmpl w:val="46045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D4708"/>
    <w:multiLevelType w:val="hybridMultilevel"/>
    <w:tmpl w:val="D3224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D7077"/>
    <w:multiLevelType w:val="hybridMultilevel"/>
    <w:tmpl w:val="C876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D39ED"/>
    <w:multiLevelType w:val="hybridMultilevel"/>
    <w:tmpl w:val="1654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01273"/>
    <w:multiLevelType w:val="hybridMultilevel"/>
    <w:tmpl w:val="EECA599C"/>
    <w:lvl w:ilvl="0" w:tplc="347E4B72">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31CDB"/>
    <w:multiLevelType w:val="hybridMultilevel"/>
    <w:tmpl w:val="8A28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5F5F30"/>
    <w:multiLevelType w:val="hybridMultilevel"/>
    <w:tmpl w:val="1A22ED3E"/>
    <w:lvl w:ilvl="0" w:tplc="DD2A35F0">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C17AF"/>
    <w:multiLevelType w:val="hybridMultilevel"/>
    <w:tmpl w:val="43C40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BA5410"/>
    <w:multiLevelType w:val="hybridMultilevel"/>
    <w:tmpl w:val="60D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7261EE"/>
    <w:multiLevelType w:val="hybridMultilevel"/>
    <w:tmpl w:val="D8247DA2"/>
    <w:lvl w:ilvl="0" w:tplc="4D620CBE">
      <w:start w:val="1"/>
      <w:numFmt w:val="upperRoman"/>
      <w:lvlText w:val="%1."/>
      <w:lvlJc w:val="right"/>
      <w:pPr>
        <w:ind w:left="720" w:hanging="360"/>
      </w:pPr>
      <w:rPr>
        <w:b/>
      </w:rPr>
    </w:lvl>
    <w:lvl w:ilvl="1" w:tplc="1426684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83498"/>
    <w:multiLevelType w:val="hybridMultilevel"/>
    <w:tmpl w:val="CDD29F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CC2F2C"/>
    <w:multiLevelType w:val="hybridMultilevel"/>
    <w:tmpl w:val="8438FC4E"/>
    <w:lvl w:ilvl="0" w:tplc="D95669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D2BF5"/>
    <w:multiLevelType w:val="hybridMultilevel"/>
    <w:tmpl w:val="4798E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A622C"/>
    <w:multiLevelType w:val="hybridMultilevel"/>
    <w:tmpl w:val="01AA3C66"/>
    <w:lvl w:ilvl="0" w:tplc="6528355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CE56CE"/>
    <w:multiLevelType w:val="hybridMultilevel"/>
    <w:tmpl w:val="D67874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C3846CA"/>
    <w:multiLevelType w:val="hybridMultilevel"/>
    <w:tmpl w:val="0D5CDAF8"/>
    <w:lvl w:ilvl="0" w:tplc="DD2A35F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17"/>
  </w:num>
  <w:num w:numId="5">
    <w:abstractNumId w:val="18"/>
  </w:num>
  <w:num w:numId="6">
    <w:abstractNumId w:val="13"/>
  </w:num>
  <w:num w:numId="7">
    <w:abstractNumId w:val="27"/>
  </w:num>
  <w:num w:numId="8">
    <w:abstractNumId w:val="22"/>
  </w:num>
  <w:num w:numId="9">
    <w:abstractNumId w:val="31"/>
  </w:num>
  <w:num w:numId="10">
    <w:abstractNumId w:val="16"/>
  </w:num>
  <w:num w:numId="11">
    <w:abstractNumId w:val="5"/>
  </w:num>
  <w:num w:numId="12">
    <w:abstractNumId w:val="25"/>
  </w:num>
  <w:num w:numId="13">
    <w:abstractNumId w:val="8"/>
  </w:num>
  <w:num w:numId="14">
    <w:abstractNumId w:val="10"/>
  </w:num>
  <w:num w:numId="15">
    <w:abstractNumId w:val="23"/>
  </w:num>
  <w:num w:numId="16">
    <w:abstractNumId w:val="30"/>
  </w:num>
  <w:num w:numId="17">
    <w:abstractNumId w:val="28"/>
  </w:num>
  <w:num w:numId="18">
    <w:abstractNumId w:val="4"/>
  </w:num>
  <w:num w:numId="19">
    <w:abstractNumId w:val="6"/>
  </w:num>
  <w:num w:numId="20">
    <w:abstractNumId w:val="15"/>
  </w:num>
  <w:num w:numId="21">
    <w:abstractNumId w:val="21"/>
  </w:num>
  <w:num w:numId="22">
    <w:abstractNumId w:val="14"/>
  </w:num>
  <w:num w:numId="23">
    <w:abstractNumId w:val="19"/>
  </w:num>
  <w:num w:numId="24">
    <w:abstractNumId w:val="24"/>
  </w:num>
  <w:num w:numId="25">
    <w:abstractNumId w:val="12"/>
  </w:num>
  <w:num w:numId="26">
    <w:abstractNumId w:val="20"/>
  </w:num>
  <w:num w:numId="27">
    <w:abstractNumId w:val="26"/>
  </w:num>
  <w:num w:numId="28">
    <w:abstractNumId w:val="0"/>
  </w:num>
  <w:num w:numId="29">
    <w:abstractNumId w:val="7"/>
  </w:num>
  <w:num w:numId="30">
    <w:abstractNumId w:val="2"/>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64"/>
    <w:rsid w:val="00014803"/>
    <w:rsid w:val="000205A6"/>
    <w:rsid w:val="00022CEE"/>
    <w:rsid w:val="000236C9"/>
    <w:rsid w:val="00024611"/>
    <w:rsid w:val="00043A63"/>
    <w:rsid w:val="000571D8"/>
    <w:rsid w:val="00066D55"/>
    <w:rsid w:val="00073DC3"/>
    <w:rsid w:val="00091886"/>
    <w:rsid w:val="00095A47"/>
    <w:rsid w:val="000A0B21"/>
    <w:rsid w:val="000C7017"/>
    <w:rsid w:val="000D25BE"/>
    <w:rsid w:val="000D4A7B"/>
    <w:rsid w:val="000D6DD4"/>
    <w:rsid w:val="0014583D"/>
    <w:rsid w:val="001533AE"/>
    <w:rsid w:val="00167DD1"/>
    <w:rsid w:val="00192B3C"/>
    <w:rsid w:val="001A4BD0"/>
    <w:rsid w:val="001A70D8"/>
    <w:rsid w:val="001D2BFA"/>
    <w:rsid w:val="00217F48"/>
    <w:rsid w:val="0022698A"/>
    <w:rsid w:val="00230B47"/>
    <w:rsid w:val="002414D3"/>
    <w:rsid w:val="0025507E"/>
    <w:rsid w:val="0026162D"/>
    <w:rsid w:val="002759B1"/>
    <w:rsid w:val="00293BE2"/>
    <w:rsid w:val="00297F86"/>
    <w:rsid w:val="002B072D"/>
    <w:rsid w:val="002C6825"/>
    <w:rsid w:val="002D3028"/>
    <w:rsid w:val="002E2A3D"/>
    <w:rsid w:val="002F39AC"/>
    <w:rsid w:val="00300BFF"/>
    <w:rsid w:val="00317C42"/>
    <w:rsid w:val="003363B0"/>
    <w:rsid w:val="003431CD"/>
    <w:rsid w:val="003531F4"/>
    <w:rsid w:val="00353963"/>
    <w:rsid w:val="003733A9"/>
    <w:rsid w:val="003819E2"/>
    <w:rsid w:val="00384458"/>
    <w:rsid w:val="003B0B7D"/>
    <w:rsid w:val="003B5875"/>
    <w:rsid w:val="003C1A73"/>
    <w:rsid w:val="003C7716"/>
    <w:rsid w:val="003D47B6"/>
    <w:rsid w:val="003E4CB0"/>
    <w:rsid w:val="003E6E4F"/>
    <w:rsid w:val="003F48A5"/>
    <w:rsid w:val="00401873"/>
    <w:rsid w:val="00403238"/>
    <w:rsid w:val="00420347"/>
    <w:rsid w:val="00451176"/>
    <w:rsid w:val="0045705F"/>
    <w:rsid w:val="0046271C"/>
    <w:rsid w:val="004B16E9"/>
    <w:rsid w:val="004D2F2A"/>
    <w:rsid w:val="004F05CD"/>
    <w:rsid w:val="004F290E"/>
    <w:rsid w:val="00516BE8"/>
    <w:rsid w:val="0052572E"/>
    <w:rsid w:val="0052731C"/>
    <w:rsid w:val="00527E14"/>
    <w:rsid w:val="00547D4F"/>
    <w:rsid w:val="00577A1E"/>
    <w:rsid w:val="005D2312"/>
    <w:rsid w:val="005F518B"/>
    <w:rsid w:val="00605B07"/>
    <w:rsid w:val="00606448"/>
    <w:rsid w:val="00611735"/>
    <w:rsid w:val="00622CC9"/>
    <w:rsid w:val="006444B9"/>
    <w:rsid w:val="00650EC7"/>
    <w:rsid w:val="00660B1C"/>
    <w:rsid w:val="006A1035"/>
    <w:rsid w:val="006D1EF7"/>
    <w:rsid w:val="006F498B"/>
    <w:rsid w:val="0071776D"/>
    <w:rsid w:val="00717F08"/>
    <w:rsid w:val="00732161"/>
    <w:rsid w:val="00747637"/>
    <w:rsid w:val="007628B4"/>
    <w:rsid w:val="0079504F"/>
    <w:rsid w:val="007A66C1"/>
    <w:rsid w:val="007E4714"/>
    <w:rsid w:val="007F6640"/>
    <w:rsid w:val="00813CAF"/>
    <w:rsid w:val="00832CDE"/>
    <w:rsid w:val="0083380B"/>
    <w:rsid w:val="00834B35"/>
    <w:rsid w:val="00842C0C"/>
    <w:rsid w:val="008439AE"/>
    <w:rsid w:val="00867D24"/>
    <w:rsid w:val="008709D6"/>
    <w:rsid w:val="008A6A11"/>
    <w:rsid w:val="008B3815"/>
    <w:rsid w:val="008C14A4"/>
    <w:rsid w:val="008F427E"/>
    <w:rsid w:val="008F68F0"/>
    <w:rsid w:val="00917421"/>
    <w:rsid w:val="00922CD7"/>
    <w:rsid w:val="00923CD3"/>
    <w:rsid w:val="00925178"/>
    <w:rsid w:val="00937F51"/>
    <w:rsid w:val="009409F9"/>
    <w:rsid w:val="00947027"/>
    <w:rsid w:val="00955716"/>
    <w:rsid w:val="0097030D"/>
    <w:rsid w:val="009733E0"/>
    <w:rsid w:val="00976B00"/>
    <w:rsid w:val="00980A05"/>
    <w:rsid w:val="00993C31"/>
    <w:rsid w:val="009A022B"/>
    <w:rsid w:val="009C05CF"/>
    <w:rsid w:val="009D4166"/>
    <w:rsid w:val="009E5FC5"/>
    <w:rsid w:val="009F12EE"/>
    <w:rsid w:val="00A009DE"/>
    <w:rsid w:val="00A329AD"/>
    <w:rsid w:val="00A37A99"/>
    <w:rsid w:val="00A528A0"/>
    <w:rsid w:val="00A60D93"/>
    <w:rsid w:val="00A630FC"/>
    <w:rsid w:val="00A63789"/>
    <w:rsid w:val="00A71774"/>
    <w:rsid w:val="00A73494"/>
    <w:rsid w:val="00A76095"/>
    <w:rsid w:val="00A951C6"/>
    <w:rsid w:val="00AA45E9"/>
    <w:rsid w:val="00AA7D25"/>
    <w:rsid w:val="00AB04F9"/>
    <w:rsid w:val="00AB261D"/>
    <w:rsid w:val="00AB2CDB"/>
    <w:rsid w:val="00AB7463"/>
    <w:rsid w:val="00AC0BED"/>
    <w:rsid w:val="00AF4E87"/>
    <w:rsid w:val="00B14331"/>
    <w:rsid w:val="00B356FB"/>
    <w:rsid w:val="00B3708C"/>
    <w:rsid w:val="00B425D1"/>
    <w:rsid w:val="00BA7C44"/>
    <w:rsid w:val="00BB4F96"/>
    <w:rsid w:val="00BC0844"/>
    <w:rsid w:val="00BC1D74"/>
    <w:rsid w:val="00BC562B"/>
    <w:rsid w:val="00C06313"/>
    <w:rsid w:val="00C1775E"/>
    <w:rsid w:val="00C54837"/>
    <w:rsid w:val="00C618AD"/>
    <w:rsid w:val="00CC35CF"/>
    <w:rsid w:val="00CE1D2E"/>
    <w:rsid w:val="00CF27C9"/>
    <w:rsid w:val="00CF707E"/>
    <w:rsid w:val="00D02985"/>
    <w:rsid w:val="00D16489"/>
    <w:rsid w:val="00D36D4F"/>
    <w:rsid w:val="00D67951"/>
    <w:rsid w:val="00D93669"/>
    <w:rsid w:val="00D94B04"/>
    <w:rsid w:val="00DA4D7B"/>
    <w:rsid w:val="00DB4C51"/>
    <w:rsid w:val="00DC112D"/>
    <w:rsid w:val="00DC60AC"/>
    <w:rsid w:val="00DD376D"/>
    <w:rsid w:val="00DE4564"/>
    <w:rsid w:val="00DF177F"/>
    <w:rsid w:val="00E06F2C"/>
    <w:rsid w:val="00E11E80"/>
    <w:rsid w:val="00E12B68"/>
    <w:rsid w:val="00E16F1A"/>
    <w:rsid w:val="00E34603"/>
    <w:rsid w:val="00E41C26"/>
    <w:rsid w:val="00E750E5"/>
    <w:rsid w:val="00E911C0"/>
    <w:rsid w:val="00EA65D1"/>
    <w:rsid w:val="00EB35FE"/>
    <w:rsid w:val="00EC35EF"/>
    <w:rsid w:val="00ED49E9"/>
    <w:rsid w:val="00EE30F5"/>
    <w:rsid w:val="00EE3F7D"/>
    <w:rsid w:val="00EF7D97"/>
    <w:rsid w:val="00F043D4"/>
    <w:rsid w:val="00F06AD8"/>
    <w:rsid w:val="00F1592D"/>
    <w:rsid w:val="00F331B7"/>
    <w:rsid w:val="00F363CE"/>
    <w:rsid w:val="00F52882"/>
    <w:rsid w:val="00F776C3"/>
    <w:rsid w:val="00F8290D"/>
    <w:rsid w:val="00FA431D"/>
    <w:rsid w:val="00FB02DB"/>
    <w:rsid w:val="00FB09CE"/>
    <w:rsid w:val="00FC665B"/>
    <w:rsid w:val="00FE45DC"/>
    <w:rsid w:val="00FF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E550D"/>
  <w15:chartTrackingRefBased/>
  <w15:docId w15:val="{AC342689-96B5-48C7-BA1C-C997DEB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313"/>
    <w:pPr>
      <w:ind w:left="720"/>
      <w:contextualSpacing/>
    </w:pPr>
  </w:style>
  <w:style w:type="paragraph" w:styleId="Header">
    <w:name w:val="header"/>
    <w:basedOn w:val="Normal"/>
    <w:link w:val="HeaderChar"/>
    <w:uiPriority w:val="99"/>
    <w:unhideWhenUsed/>
    <w:rsid w:val="00230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7"/>
  </w:style>
  <w:style w:type="paragraph" w:styleId="Footer">
    <w:name w:val="footer"/>
    <w:basedOn w:val="Normal"/>
    <w:link w:val="FooterChar"/>
    <w:uiPriority w:val="99"/>
    <w:unhideWhenUsed/>
    <w:rsid w:val="00230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7"/>
  </w:style>
  <w:style w:type="character" w:styleId="Hyperlink">
    <w:name w:val="Hyperlink"/>
    <w:basedOn w:val="DefaultParagraphFont"/>
    <w:uiPriority w:val="99"/>
    <w:unhideWhenUsed/>
    <w:rsid w:val="0022698A"/>
    <w:rPr>
      <w:color w:val="0563C1" w:themeColor="hyperlink"/>
      <w:u w:val="single"/>
    </w:rPr>
  </w:style>
  <w:style w:type="character" w:styleId="CommentReference">
    <w:name w:val="annotation reference"/>
    <w:basedOn w:val="DefaultParagraphFont"/>
    <w:uiPriority w:val="99"/>
    <w:semiHidden/>
    <w:unhideWhenUsed/>
    <w:rsid w:val="00B356FB"/>
    <w:rPr>
      <w:sz w:val="16"/>
      <w:szCs w:val="16"/>
    </w:rPr>
  </w:style>
  <w:style w:type="paragraph" w:styleId="CommentText">
    <w:name w:val="annotation text"/>
    <w:basedOn w:val="Normal"/>
    <w:link w:val="CommentTextChar"/>
    <w:uiPriority w:val="99"/>
    <w:semiHidden/>
    <w:unhideWhenUsed/>
    <w:rsid w:val="00B356FB"/>
    <w:pPr>
      <w:spacing w:line="240" w:lineRule="auto"/>
    </w:pPr>
    <w:rPr>
      <w:sz w:val="20"/>
      <w:szCs w:val="20"/>
    </w:rPr>
  </w:style>
  <w:style w:type="character" w:customStyle="1" w:styleId="CommentTextChar">
    <w:name w:val="Comment Text Char"/>
    <w:basedOn w:val="DefaultParagraphFont"/>
    <w:link w:val="CommentText"/>
    <w:uiPriority w:val="99"/>
    <w:semiHidden/>
    <w:rsid w:val="00B356FB"/>
    <w:rPr>
      <w:sz w:val="20"/>
      <w:szCs w:val="20"/>
    </w:rPr>
  </w:style>
  <w:style w:type="paragraph" w:styleId="CommentSubject">
    <w:name w:val="annotation subject"/>
    <w:basedOn w:val="CommentText"/>
    <w:next w:val="CommentText"/>
    <w:link w:val="CommentSubjectChar"/>
    <w:uiPriority w:val="99"/>
    <w:semiHidden/>
    <w:unhideWhenUsed/>
    <w:rsid w:val="00B356FB"/>
    <w:rPr>
      <w:b/>
      <w:bCs/>
    </w:rPr>
  </w:style>
  <w:style w:type="character" w:customStyle="1" w:styleId="CommentSubjectChar">
    <w:name w:val="Comment Subject Char"/>
    <w:basedOn w:val="CommentTextChar"/>
    <w:link w:val="CommentSubject"/>
    <w:uiPriority w:val="99"/>
    <w:semiHidden/>
    <w:rsid w:val="00B356FB"/>
    <w:rPr>
      <w:b/>
      <w:bCs/>
      <w:sz w:val="20"/>
      <w:szCs w:val="20"/>
    </w:rPr>
  </w:style>
  <w:style w:type="paragraph" w:styleId="Revision">
    <w:name w:val="Revision"/>
    <w:hidden/>
    <w:uiPriority w:val="99"/>
    <w:semiHidden/>
    <w:rsid w:val="00B356FB"/>
    <w:pPr>
      <w:spacing w:after="0" w:line="240" w:lineRule="auto"/>
    </w:pPr>
  </w:style>
  <w:style w:type="paragraph" w:styleId="BalloonText">
    <w:name w:val="Balloon Text"/>
    <w:basedOn w:val="Normal"/>
    <w:link w:val="BalloonTextChar"/>
    <w:uiPriority w:val="99"/>
    <w:semiHidden/>
    <w:unhideWhenUsed/>
    <w:rsid w:val="00B35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6FB"/>
    <w:rPr>
      <w:rFonts w:ascii="Segoe UI" w:hAnsi="Segoe UI" w:cs="Segoe UI"/>
      <w:sz w:val="18"/>
      <w:szCs w:val="18"/>
    </w:rPr>
  </w:style>
  <w:style w:type="character" w:styleId="FollowedHyperlink">
    <w:name w:val="FollowedHyperlink"/>
    <w:basedOn w:val="DefaultParagraphFont"/>
    <w:uiPriority w:val="99"/>
    <w:semiHidden/>
    <w:unhideWhenUsed/>
    <w:rsid w:val="0046271C"/>
    <w:rPr>
      <w:color w:val="954F72" w:themeColor="followedHyperlink"/>
      <w:u w:val="single"/>
    </w:rPr>
  </w:style>
  <w:style w:type="paragraph" w:styleId="NormalWeb">
    <w:name w:val="Normal (Web)"/>
    <w:basedOn w:val="Normal"/>
    <w:uiPriority w:val="99"/>
    <w:semiHidden/>
    <w:unhideWhenUsed/>
    <w:rsid w:val="003539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37F51"/>
    <w:pPr>
      <w:autoSpaceDE w:val="0"/>
      <w:autoSpaceDN w:val="0"/>
      <w:adjustRightInd w:val="0"/>
      <w:spacing w:after="0" w:line="240" w:lineRule="auto"/>
    </w:pPr>
    <w:rPr>
      <w:rFonts w:ascii="Arial" w:hAnsi="Arial" w:cs="Arial"/>
      <w:color w:val="000000"/>
      <w:sz w:val="24"/>
      <w:szCs w:val="24"/>
    </w:rPr>
  </w:style>
  <w:style w:type="character" w:customStyle="1" w:styleId="markfjus7cu3h">
    <w:name w:val="markfjus7cu3h"/>
    <w:basedOn w:val="DefaultParagraphFont"/>
    <w:rsid w:val="00F1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9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a.osu.edu/general-education-revie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5408F-2326-4592-BBA3-DAAC9442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Steven S.</dc:creator>
  <cp:keywords/>
  <dc:description/>
  <cp:lastModifiedBy>meg</cp:lastModifiedBy>
  <cp:revision>2</cp:revision>
  <cp:lastPrinted>2018-11-28T15:14:00Z</cp:lastPrinted>
  <dcterms:created xsi:type="dcterms:W3CDTF">2019-03-20T10:39:00Z</dcterms:created>
  <dcterms:modified xsi:type="dcterms:W3CDTF">2019-03-20T10:39:00Z</dcterms:modified>
</cp:coreProperties>
</file>